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6356" w:rsidRDefault="00646CA4">
      <w:pPr>
        <w:pStyle w:val="normal0"/>
        <w:spacing w:before="200"/>
        <w:jc w:val="both"/>
      </w:pPr>
      <w:r>
        <w:rPr>
          <w:b/>
        </w:rPr>
        <w:t>DLR: Board Resolution</w:t>
      </w:r>
    </w:p>
    <w:p w:rsidR="00AA6356" w:rsidRDefault="00646CA4">
      <w:pPr>
        <w:pStyle w:val="normal0"/>
        <w:spacing w:before="200"/>
        <w:jc w:val="both"/>
      </w:pPr>
      <w:r>
        <w:t xml:space="preserve">On 29/12/2017, </w:t>
      </w:r>
      <w:proofErr w:type="spellStart"/>
      <w:r>
        <w:t>Dalat</w:t>
      </w:r>
      <w:proofErr w:type="spellEnd"/>
      <w:r>
        <w:t xml:space="preserve"> Real Estate Joint Stock Company issued a board resolution as follows:</w:t>
      </w:r>
    </w:p>
    <w:p w:rsidR="00AA6356" w:rsidRDefault="00646CA4">
      <w:pPr>
        <w:pStyle w:val="normal0"/>
        <w:spacing w:before="200"/>
        <w:jc w:val="both"/>
      </w:pPr>
      <w:r>
        <w:t xml:space="preserve">* </w:t>
      </w:r>
      <w:r>
        <w:rPr>
          <w:b/>
        </w:rPr>
        <w:t>The content of Resolution 12 - Article 2 - Point 2:</w:t>
      </w:r>
      <w:r>
        <w:t xml:space="preserve"> “Eligible Buyers”</w:t>
      </w:r>
    </w:p>
    <w:p w:rsidR="00AA6356" w:rsidRDefault="00646CA4">
      <w:pPr>
        <w:pStyle w:val="normal0"/>
        <w:spacing w:before="200"/>
        <w:jc w:val="both"/>
      </w:pPr>
      <w:r>
        <w:t>Outstanding shareholders are domestic institutions and individuals (Not offer shares to foreign shareholders). The investors registering to buy the shares in this issuance are obligated to prove that they are outstanding of the company at the time of regis</w:t>
      </w:r>
      <w:r>
        <w:t>tration and commit to hold the shares until 03/01/2017 - the time of approving the list of the investors to buy the shares.</w:t>
      </w:r>
    </w:p>
    <w:p w:rsidR="00AA6356" w:rsidRDefault="00646CA4">
      <w:pPr>
        <w:pStyle w:val="normal0"/>
        <w:spacing w:before="200"/>
        <w:jc w:val="both"/>
      </w:pPr>
      <w:r>
        <w:rPr>
          <w:b/>
        </w:rPr>
        <w:t>Has been adjusted and supplemented as follows:</w:t>
      </w:r>
    </w:p>
    <w:p w:rsidR="00AA6356" w:rsidRDefault="00646CA4">
      <w:pPr>
        <w:pStyle w:val="normal0"/>
        <w:spacing w:before="200"/>
        <w:jc w:val="both"/>
      </w:pPr>
      <w:r>
        <w:rPr>
          <w:b/>
          <w:u w:val="single"/>
        </w:rPr>
        <w:t>Eligible Buyers:</w:t>
      </w:r>
    </w:p>
    <w:p w:rsidR="00AA6356" w:rsidRPr="009E24C0" w:rsidRDefault="00646CA4" w:rsidP="009E24C0">
      <w:pPr>
        <w:pStyle w:val="normal0"/>
        <w:spacing w:before="200"/>
        <w:jc w:val="both"/>
        <w:rPr>
          <w:sz w:val="20"/>
          <w:szCs w:val="20"/>
        </w:rPr>
      </w:pPr>
      <w:r>
        <w:t xml:space="preserve">Outstanding shareholders are </w:t>
      </w:r>
      <w:r w:rsidRPr="009E24C0">
        <w:rPr>
          <w:sz w:val="20"/>
          <w:szCs w:val="20"/>
        </w:rPr>
        <w:t>domestic and foreign institutions and i</w:t>
      </w:r>
      <w:r w:rsidRPr="009E24C0">
        <w:rPr>
          <w:sz w:val="20"/>
          <w:szCs w:val="20"/>
        </w:rPr>
        <w:t xml:space="preserve">ndividuals. </w:t>
      </w:r>
    </w:p>
    <w:p w:rsidR="00AA6356" w:rsidRPr="009E24C0" w:rsidRDefault="00646CA4" w:rsidP="009E24C0">
      <w:pPr>
        <w:pStyle w:val="normal0"/>
        <w:spacing w:before="200"/>
        <w:jc w:val="both"/>
        <w:rPr>
          <w:sz w:val="20"/>
          <w:szCs w:val="20"/>
        </w:rPr>
      </w:pPr>
      <w:r w:rsidRPr="009E24C0">
        <w:rPr>
          <w:sz w:val="20"/>
          <w:szCs w:val="20"/>
        </w:rPr>
        <w:t>For foreign shareholders, the rate of foreign ownership must be in accordance with the regulations in Point 2, Article 1 of the government resolution number 60//2015/ND-CP dated November 6, 2015 on adjusting and supplementing the government re</w:t>
      </w:r>
      <w:r w:rsidRPr="009E24C0">
        <w:rPr>
          <w:sz w:val="20"/>
          <w:szCs w:val="20"/>
        </w:rPr>
        <w:t>solution number 58/2015/ND-CP dated July 20, 2012 which regulates and guides to implement some articles of Securities Acts and Law of adjusting and supplementing Securities Acts in detail as follows:</w:t>
      </w:r>
    </w:p>
    <w:p w:rsidR="00AA6356" w:rsidRPr="009E24C0" w:rsidRDefault="00646CA4" w:rsidP="009E24C0">
      <w:pPr>
        <w:pStyle w:val="normal0"/>
        <w:spacing w:before="200"/>
        <w:jc w:val="both"/>
        <w:rPr>
          <w:sz w:val="20"/>
          <w:szCs w:val="20"/>
        </w:rPr>
      </w:pPr>
      <w:r w:rsidRPr="009E24C0">
        <w:rPr>
          <w:sz w:val="20"/>
          <w:szCs w:val="20"/>
        </w:rPr>
        <w:t xml:space="preserve">The rate of foreign ownership at public limited company </w:t>
      </w:r>
      <w:r w:rsidRPr="009E24C0">
        <w:rPr>
          <w:sz w:val="20"/>
          <w:szCs w:val="20"/>
        </w:rPr>
        <w:t>is regulated as follows:</w:t>
      </w:r>
    </w:p>
    <w:p w:rsidR="00AA6356" w:rsidRPr="009E24C0" w:rsidRDefault="00646CA4" w:rsidP="009E24C0">
      <w:pPr>
        <w:pStyle w:val="normal0"/>
        <w:spacing w:before="200"/>
        <w:jc w:val="both"/>
        <w:rPr>
          <w:sz w:val="20"/>
          <w:szCs w:val="20"/>
        </w:rPr>
      </w:pPr>
      <w:proofErr w:type="gramStart"/>
      <w:r w:rsidRPr="009E24C0">
        <w:rPr>
          <w:sz w:val="20"/>
          <w:szCs w:val="20"/>
        </w:rPr>
        <w:t>a</w:t>
      </w:r>
      <w:proofErr w:type="gramEnd"/>
      <w:r w:rsidRPr="009E24C0">
        <w:rPr>
          <w:sz w:val="20"/>
          <w:szCs w:val="20"/>
        </w:rPr>
        <w:t>) In case Vietnam is a member of international treaty who has regulations on foreign ownership rate: implement the foreign ownership rate in accordance with the international treaty.</w:t>
      </w:r>
    </w:p>
    <w:p w:rsidR="00AA6356" w:rsidRPr="009E24C0" w:rsidRDefault="00646CA4" w:rsidP="009E24C0">
      <w:pPr>
        <w:pStyle w:val="normal0"/>
        <w:spacing w:before="200"/>
        <w:jc w:val="both"/>
        <w:rPr>
          <w:sz w:val="20"/>
          <w:szCs w:val="20"/>
        </w:rPr>
      </w:pPr>
      <w:r w:rsidRPr="009E24C0">
        <w:rPr>
          <w:sz w:val="20"/>
          <w:szCs w:val="20"/>
        </w:rPr>
        <w:t xml:space="preserve">b)  In case the company operates in the sector </w:t>
      </w:r>
      <w:r w:rsidRPr="009E24C0">
        <w:rPr>
          <w:sz w:val="20"/>
          <w:szCs w:val="20"/>
        </w:rPr>
        <w:t xml:space="preserve">regulated by the Investment Act and relevant </w:t>
      </w:r>
      <w:proofErr w:type="spellStart"/>
      <w:r w:rsidRPr="009E24C0">
        <w:rPr>
          <w:sz w:val="20"/>
          <w:szCs w:val="20"/>
        </w:rPr>
        <w:t>acts</w:t>
      </w:r>
      <w:proofErr w:type="spellEnd"/>
      <w:r w:rsidRPr="009E24C0">
        <w:rPr>
          <w:sz w:val="20"/>
          <w:szCs w:val="20"/>
        </w:rPr>
        <w:t>: implement the foreign ownership rate in accordance with those acts.</w:t>
      </w:r>
    </w:p>
    <w:p w:rsidR="00AA6356" w:rsidRPr="009E24C0" w:rsidRDefault="00646CA4" w:rsidP="009E24C0">
      <w:pPr>
        <w:pStyle w:val="normal0"/>
        <w:spacing w:before="200"/>
        <w:jc w:val="both"/>
        <w:rPr>
          <w:sz w:val="20"/>
          <w:szCs w:val="20"/>
        </w:rPr>
      </w:pPr>
      <w:r w:rsidRPr="009E24C0">
        <w:rPr>
          <w:sz w:val="20"/>
          <w:szCs w:val="20"/>
        </w:rPr>
        <w:t>c) In case the company operates in many sectors and have different regulations on foreign ownership rate: The foreign ownership rate is n</w:t>
      </w:r>
      <w:r w:rsidRPr="009E24C0">
        <w:rPr>
          <w:sz w:val="20"/>
          <w:szCs w:val="20"/>
        </w:rPr>
        <w:t>ot higher than the lowest rate in all sectors.</w:t>
      </w:r>
    </w:p>
    <w:p w:rsidR="00AA6356" w:rsidRPr="009E24C0" w:rsidRDefault="00646CA4" w:rsidP="009E24C0">
      <w:pPr>
        <w:pStyle w:val="normal0"/>
        <w:spacing w:before="200"/>
        <w:jc w:val="both"/>
        <w:rPr>
          <w:sz w:val="20"/>
          <w:szCs w:val="20"/>
        </w:rPr>
      </w:pPr>
      <w:proofErr w:type="gramStart"/>
      <w:r w:rsidRPr="009E24C0">
        <w:rPr>
          <w:sz w:val="20"/>
          <w:szCs w:val="20"/>
        </w:rPr>
        <w:t>d</w:t>
      </w:r>
      <w:proofErr w:type="gramEnd"/>
      <w:r w:rsidRPr="009E24C0">
        <w:rPr>
          <w:sz w:val="20"/>
          <w:szCs w:val="20"/>
        </w:rPr>
        <w:t>) For the public limited companies who are not included in Point a, b, c in this article: The rate of foreign ownership is not limited, except that the company has different regulations.</w:t>
      </w:r>
    </w:p>
    <w:p w:rsidR="00AA6356" w:rsidRPr="009E24C0" w:rsidRDefault="00646CA4" w:rsidP="009E24C0">
      <w:pPr>
        <w:pStyle w:val="normal0"/>
        <w:spacing w:before="200"/>
        <w:jc w:val="both"/>
        <w:rPr>
          <w:sz w:val="20"/>
          <w:szCs w:val="20"/>
        </w:rPr>
      </w:pPr>
      <w:r w:rsidRPr="009E24C0">
        <w:rPr>
          <w:sz w:val="20"/>
          <w:szCs w:val="20"/>
        </w:rPr>
        <w:t>The investors registe</w:t>
      </w:r>
      <w:r w:rsidRPr="009E24C0">
        <w:rPr>
          <w:sz w:val="20"/>
          <w:szCs w:val="20"/>
        </w:rPr>
        <w:t>ring to buy the shares in this issuance are obligated to prove that they are outstanding of the company at the time of registration and commit to hold the shares until 03/01/2017 - the time of approving the list of the investors to buy the shares.</w:t>
      </w:r>
    </w:p>
    <w:p w:rsidR="00AA6356" w:rsidRPr="009E24C0" w:rsidRDefault="00646CA4" w:rsidP="009E24C0">
      <w:pPr>
        <w:pStyle w:val="normal0"/>
        <w:spacing w:before="200"/>
        <w:jc w:val="both"/>
        <w:rPr>
          <w:sz w:val="20"/>
          <w:szCs w:val="20"/>
        </w:rPr>
      </w:pPr>
      <w:r w:rsidRPr="009E24C0">
        <w:rPr>
          <w:sz w:val="20"/>
          <w:szCs w:val="20"/>
        </w:rPr>
        <w:t>The 13th</w:t>
      </w:r>
      <w:r w:rsidRPr="009E24C0">
        <w:rPr>
          <w:sz w:val="20"/>
          <w:szCs w:val="20"/>
        </w:rPr>
        <w:t xml:space="preserve"> Board Resolution in 2016 - Term II takes effect on the date of issuance. </w:t>
      </w:r>
    </w:p>
    <w:p w:rsidR="00AA6356" w:rsidRDefault="00AA6356">
      <w:pPr>
        <w:pStyle w:val="normal0"/>
        <w:spacing w:before="200"/>
        <w:jc w:val="both"/>
      </w:pPr>
    </w:p>
    <w:p w:rsidR="00AA6356" w:rsidRDefault="00AA6356">
      <w:pPr>
        <w:pStyle w:val="normal0"/>
        <w:spacing w:before="200"/>
        <w:jc w:val="both"/>
      </w:pPr>
    </w:p>
    <w:p w:rsidR="00AA6356" w:rsidRDefault="00AA6356">
      <w:pPr>
        <w:pStyle w:val="normal0"/>
        <w:spacing w:before="200"/>
        <w:jc w:val="both"/>
      </w:pPr>
    </w:p>
    <w:sectPr w:rsidR="00AA6356" w:rsidSect="00AA635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A6356"/>
    <w:rsid w:val="00646CA4"/>
    <w:rsid w:val="009E24C0"/>
    <w:rsid w:val="00AA6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A6356"/>
    <w:pPr>
      <w:keepNext/>
      <w:keepLines/>
      <w:spacing w:before="400" w:after="120"/>
      <w:contextualSpacing/>
      <w:outlineLvl w:val="0"/>
    </w:pPr>
    <w:rPr>
      <w:sz w:val="40"/>
      <w:szCs w:val="40"/>
    </w:rPr>
  </w:style>
  <w:style w:type="paragraph" w:styleId="Heading2">
    <w:name w:val="heading 2"/>
    <w:basedOn w:val="normal0"/>
    <w:next w:val="normal0"/>
    <w:rsid w:val="00AA6356"/>
    <w:pPr>
      <w:keepNext/>
      <w:keepLines/>
      <w:spacing w:before="360" w:after="120"/>
      <w:contextualSpacing/>
      <w:outlineLvl w:val="1"/>
    </w:pPr>
    <w:rPr>
      <w:sz w:val="32"/>
      <w:szCs w:val="32"/>
    </w:rPr>
  </w:style>
  <w:style w:type="paragraph" w:styleId="Heading3">
    <w:name w:val="heading 3"/>
    <w:basedOn w:val="normal0"/>
    <w:next w:val="normal0"/>
    <w:rsid w:val="00AA6356"/>
    <w:pPr>
      <w:keepNext/>
      <w:keepLines/>
      <w:spacing w:before="320" w:after="80"/>
      <w:contextualSpacing/>
      <w:outlineLvl w:val="2"/>
    </w:pPr>
    <w:rPr>
      <w:color w:val="434343"/>
      <w:sz w:val="28"/>
      <w:szCs w:val="28"/>
    </w:rPr>
  </w:style>
  <w:style w:type="paragraph" w:styleId="Heading4">
    <w:name w:val="heading 4"/>
    <w:basedOn w:val="normal0"/>
    <w:next w:val="normal0"/>
    <w:rsid w:val="00AA6356"/>
    <w:pPr>
      <w:keepNext/>
      <w:keepLines/>
      <w:spacing w:before="280" w:after="80"/>
      <w:contextualSpacing/>
      <w:outlineLvl w:val="3"/>
    </w:pPr>
    <w:rPr>
      <w:color w:val="666666"/>
      <w:sz w:val="24"/>
      <w:szCs w:val="24"/>
    </w:rPr>
  </w:style>
  <w:style w:type="paragraph" w:styleId="Heading5">
    <w:name w:val="heading 5"/>
    <w:basedOn w:val="normal0"/>
    <w:next w:val="normal0"/>
    <w:rsid w:val="00AA6356"/>
    <w:pPr>
      <w:keepNext/>
      <w:keepLines/>
      <w:spacing w:before="240" w:after="80"/>
      <w:contextualSpacing/>
      <w:outlineLvl w:val="4"/>
    </w:pPr>
    <w:rPr>
      <w:color w:val="666666"/>
    </w:rPr>
  </w:style>
  <w:style w:type="paragraph" w:styleId="Heading6">
    <w:name w:val="heading 6"/>
    <w:basedOn w:val="normal0"/>
    <w:next w:val="normal0"/>
    <w:rsid w:val="00AA6356"/>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A6356"/>
  </w:style>
  <w:style w:type="paragraph" w:styleId="Title">
    <w:name w:val="Title"/>
    <w:basedOn w:val="normal0"/>
    <w:next w:val="normal0"/>
    <w:rsid w:val="00AA6356"/>
    <w:pPr>
      <w:keepNext/>
      <w:keepLines/>
      <w:spacing w:after="60"/>
      <w:contextualSpacing/>
    </w:pPr>
    <w:rPr>
      <w:sz w:val="52"/>
      <w:szCs w:val="52"/>
    </w:rPr>
  </w:style>
  <w:style w:type="paragraph" w:styleId="Subtitle">
    <w:name w:val="Subtitle"/>
    <w:basedOn w:val="normal0"/>
    <w:next w:val="normal0"/>
    <w:rsid w:val="00AA6356"/>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Cuong</cp:lastModifiedBy>
  <cp:revision>2</cp:revision>
  <dcterms:created xsi:type="dcterms:W3CDTF">2017-01-03T09:47:00Z</dcterms:created>
  <dcterms:modified xsi:type="dcterms:W3CDTF">2017-01-03T09:51:00Z</dcterms:modified>
</cp:coreProperties>
</file>